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8F1A" w14:textId="77777777" w:rsidR="000F1428" w:rsidRDefault="0000000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323FBAE7" w14:textId="77777777" w:rsidR="000F1428" w:rsidRDefault="000F1428"/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3766"/>
        <w:gridCol w:w="1195"/>
        <w:gridCol w:w="4395"/>
        <w:gridCol w:w="710"/>
        <w:gridCol w:w="23"/>
        <w:gridCol w:w="827"/>
      </w:tblGrid>
      <w:tr w:rsidR="000F1428" w14:paraId="2CAB71CB" w14:textId="77777777" w:rsidTr="00666993">
        <w:trPr>
          <w:trHeight w:val="546"/>
        </w:trPr>
        <w:tc>
          <w:tcPr>
            <w:tcW w:w="1129" w:type="dxa"/>
            <w:shd w:val="clear" w:color="auto" w:fill="8EAADB"/>
          </w:tcPr>
          <w:p w14:paraId="51F1FD51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Rendor 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shd w:val="clear" w:color="auto" w:fill="8EAADB"/>
          </w:tcPr>
          <w:p w14:paraId="4B8FFE9E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766" w:type="dxa"/>
            <w:shd w:val="clear" w:color="auto" w:fill="8EAADB"/>
          </w:tcPr>
          <w:p w14:paraId="6E27C657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  <w:p w14:paraId="06F0FABC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5CFACFA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8EAADB"/>
          </w:tcPr>
          <w:p w14:paraId="6B2BD2E0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4395" w:type="dxa"/>
            <w:shd w:val="clear" w:color="auto" w:fill="8EAADB"/>
          </w:tcPr>
          <w:p w14:paraId="0B45D656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  <w:p w14:paraId="113C5792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8EAADB"/>
          </w:tcPr>
          <w:p w14:paraId="52F8239A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850" w:type="dxa"/>
            <w:gridSpan w:val="2"/>
            <w:shd w:val="clear" w:color="auto" w:fill="8EAADB"/>
          </w:tcPr>
          <w:p w14:paraId="147AA131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  <w:p w14:paraId="3F868AE6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78B78F1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28" w:rsidRPr="0023417C" w14:paraId="0379B526" w14:textId="77777777" w:rsidTr="00666993">
        <w:trPr>
          <w:trHeight w:val="1975"/>
        </w:trPr>
        <w:tc>
          <w:tcPr>
            <w:tcW w:w="1129" w:type="dxa"/>
            <w:shd w:val="clear" w:color="auto" w:fill="auto"/>
            <w:vAlign w:val="center"/>
          </w:tcPr>
          <w:p w14:paraId="48395415" w14:textId="614B4C30" w:rsidR="000F1428" w:rsidRPr="0023417C" w:rsidRDefault="0004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17C">
              <w:rPr>
                <w:rFonts w:ascii="Times New Roman" w:hAnsi="Times New Roman"/>
                <w:sz w:val="20"/>
                <w:szCs w:val="20"/>
              </w:rPr>
              <w:t>1</w:t>
            </w:r>
            <w:r w:rsidR="0023417C" w:rsidRPr="002341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B9394" w14:textId="2A474F22" w:rsidR="000F1428" w:rsidRPr="0023417C" w:rsidRDefault="0023417C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17C">
              <w:rPr>
                <w:rFonts w:ascii="Times New Roman" w:hAnsi="Times New Roman"/>
                <w:sz w:val="20"/>
                <w:szCs w:val="20"/>
              </w:rPr>
              <w:t>03.12.2024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63694C95" w14:textId="774C9370" w:rsidR="000F1428" w:rsidRPr="0023417C" w:rsidRDefault="002341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1.Bazuar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parashikimet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ligjore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Ligjin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Për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Arsimin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Lartë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cilat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janë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politikat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edukimit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cilat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studentët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universiteteve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kanë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vendimmarrje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apo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bashkëvendimmarrje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jetën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studentore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universiteteve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?</w:t>
            </w:r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br/>
              <w:t xml:space="preserve">2. Cilat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janë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rastet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qe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është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aplikuar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vendimmarrja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studentëve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praktikë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vitet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fundit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?</w:t>
            </w:r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br/>
              <w:t xml:space="preserve">3. A ka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Universiteti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Durrësit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një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rregullore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brendshme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apo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kuadër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rregullator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cili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parashikojë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pjesmarrjen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praktikat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dhe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procedurat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për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pjesmarrjen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vendimarrje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trupave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studentore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universitetet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?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Nëse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po,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kërkoj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më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vihet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në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dispozicion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dokumenti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përkatës</w:t>
            </w:r>
            <w:proofErr w:type="spellEnd"/>
            <w:r w:rsidRPr="0023417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9ABE88A" w14:textId="005153E4" w:rsidR="000F1428" w:rsidRPr="0023417C" w:rsidRDefault="0023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3417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3417C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4395" w:type="dxa"/>
            <w:shd w:val="clear" w:color="auto" w:fill="auto"/>
          </w:tcPr>
          <w:p w14:paraId="3304CC00" w14:textId="77777777" w:rsidR="000F1428" w:rsidRPr="0023417C" w:rsidRDefault="00000000">
            <w:pPr>
              <w:shd w:val="clear" w:color="auto" w:fill="FFFFFF"/>
              <w:spacing w:after="0" w:line="276" w:lineRule="atLeast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 </w:t>
            </w:r>
          </w:p>
          <w:p w14:paraId="50FDD2C5" w14:textId="77777777" w:rsidR="00F04E44" w:rsidRPr="0023417C" w:rsidRDefault="00F04E44" w:rsidP="00F04E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  <w:p w14:paraId="4441495B" w14:textId="77777777" w:rsidR="0023417C" w:rsidRPr="0023417C" w:rsidRDefault="0023417C" w:rsidP="00234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mbështetje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Ligjit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Nr.80/2015 “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Arsimin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Lartë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Kërkimin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Shkencor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Institucionet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Arsimit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Lartë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Republikën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Shqipërisë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”,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ligjin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nr.8480, date 27.05.199 “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funksionimin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organeve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kolegjiale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administrates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shtetërore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enteve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publike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”,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Statutit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UAMD-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UAMD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një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rol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rëndësishëm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jetën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universitare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duke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kontribuar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proceset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vendimmarrëse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duke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marrë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pjesë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bashkëvendimmarrje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Disa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nga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politikat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kryesore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ku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UAMD-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ndikim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ose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vendimmarrje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përfshijnë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:</w:t>
            </w:r>
          </w:p>
          <w:p w14:paraId="17A81442" w14:textId="77777777" w:rsidR="0023417C" w:rsidRPr="0023417C" w:rsidRDefault="0023417C" w:rsidP="002341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Politikat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administratës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universitare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:</w:t>
            </w: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 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UAMD-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lastRenderedPageBreak/>
              <w:t>kanë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përfaqësues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organet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drejtuese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UAMD-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 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Senati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Akademik</w:t>
            </w: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ku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dy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nga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anëtarët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këtij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organi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drejtues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.</w:t>
            </w:r>
          </w:p>
          <w:p w14:paraId="261DE68B" w14:textId="77777777" w:rsidR="0023417C" w:rsidRPr="0023417C" w:rsidRDefault="0023417C" w:rsidP="002341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Politikat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mësimore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akademike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:</w:t>
            </w: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 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mund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përfshihen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përmirësimin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cilësisë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mësimdhënies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kurikulave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akademike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përmes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 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Komisionit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Përhershëm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për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Sigurimin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Brëndshëm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Cilësisë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  </w:t>
            </w: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UAMD</w:t>
            </w:r>
            <w:proofErr w:type="gram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përbëhet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nga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jo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shumë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se 7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anëtarë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përbërje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KPSBC-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zgjidhet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nga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një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përfaqësues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nga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secila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Njësi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Kryesore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UAMD-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përfshirë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një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student me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mesatare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mbi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9.  </w:t>
            </w:r>
          </w:p>
          <w:p w14:paraId="64222FAC" w14:textId="77777777" w:rsidR="0023417C" w:rsidRPr="0023417C" w:rsidRDefault="0023417C" w:rsidP="0023417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945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Pjesëmarrja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përmirësimin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kushteve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jetesës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studentore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:</w:t>
            </w: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 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UAMD-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mundësinë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ndikojnë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politikat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lidhen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me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kushte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jetese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infrastrukturën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kampusit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shërbimet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sociale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aktivitete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tjera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jetës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 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Komisionin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Përhershëm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për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Mbarëvajtjen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Veprimtarisë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Marrëdhënieve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me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 xml:space="preserve"> UAMD</w:t>
            </w: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përbëhet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nga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5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anëtarë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nga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3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pjesë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stafit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akademik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2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përfaqësues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Këshilli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Studentor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UAMD-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</w:p>
          <w:p w14:paraId="20EF82E1" w14:textId="77777777" w:rsidR="0023417C" w:rsidRPr="0023417C" w:rsidRDefault="0023417C" w:rsidP="00234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vitet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fundit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UAMD,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vendimmarrja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bashkëvendimmarrja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implementuar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mënyra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ndryshme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nivelin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administratës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universitare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ashtu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nivelin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akademik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. 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Disa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raste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specifike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përfshijnë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:</w:t>
            </w:r>
          </w:p>
          <w:p w14:paraId="1F7CA704" w14:textId="77777777" w:rsidR="0023417C" w:rsidRPr="0023417C" w:rsidRDefault="0023417C" w:rsidP="0023417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Krijimi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i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Këshillave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Studentore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Përfaqësimi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Këshillat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Drejtues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:</w:t>
            </w: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 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përfshirë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lastRenderedPageBreak/>
              <w:t>zgjedhjet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Këshillat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Fakulteteve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Këshillin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Studentor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Universitetit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“Aleksandër Moisiu”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Durrës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merrem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me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vendimmarrje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çështje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rëndësishme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zgjedhjet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Këshillave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u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zhvilluan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12 Mars 2024,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zgjedhjet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rektorit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dekanit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përfaqësuesve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Senatin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Akademik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zgjedhjet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21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Qershor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2024.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qenë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pjesë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Komisionit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Institucional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Zgjedhjeve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KIZ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Komisionit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Zgjedhor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Fakulteteve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KZF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dyja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këto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proçese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.</w:t>
            </w:r>
          </w:p>
          <w:p w14:paraId="424ECD6F" w14:textId="122A38DA" w:rsidR="0023417C" w:rsidRPr="0023417C" w:rsidRDefault="0023417C" w:rsidP="0023417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Pjesëmarrja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organizimin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aktiviteteve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studentore</w:t>
            </w:r>
            <w:proofErr w:type="spellEnd"/>
            <w:r w:rsidRPr="0023417C">
              <w:rPr>
                <w:rFonts w:ascii="Times New Roman" w:eastAsia="Times New Roman" w:hAnsi="Times New Roman"/>
                <w:b/>
                <w:bCs/>
                <w:color w:val="222222"/>
                <w:sz w:val="20"/>
                <w:szCs w:val="20"/>
              </w:rPr>
              <w:t>:</w:t>
            </w: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 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janë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përfshirë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gjithashtu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organizimin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aktiviteteve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jashtëklasore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përfshirë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aktivitete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kulturore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sportive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shoqërore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lidhen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me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jetën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UAMD.</w:t>
            </w:r>
          </w:p>
          <w:p w14:paraId="642BF28A" w14:textId="77777777" w:rsidR="0023417C" w:rsidRPr="0023417C" w:rsidRDefault="0023417C" w:rsidP="00234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Po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është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Rregullorja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UAMD-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është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një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rregullore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përcakton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cilën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ndër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tjera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përshkruan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mënyrën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se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mund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marrin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pjesë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proceset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vendimmarrëse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UAMD.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Bashkëlidhur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linku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ku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mund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aksesohet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kjo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Rregullore</w:t>
            </w:r>
            <w:proofErr w:type="spellEnd"/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.</w:t>
            </w:r>
          </w:p>
          <w:p w14:paraId="05048276" w14:textId="77777777" w:rsidR="0023417C" w:rsidRPr="0023417C" w:rsidRDefault="0023417C" w:rsidP="00234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hyperlink r:id="rId7" w:tgtFrame="_blank" w:history="1">
              <w:r w:rsidRPr="0023417C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https://uamd.edu.al/wp-content/uploads/2023/02/Rregullore-UAMD-.pdf</w:t>
              </w:r>
            </w:hyperlink>
          </w:p>
          <w:p w14:paraId="190D92AE" w14:textId="77777777" w:rsidR="0023417C" w:rsidRPr="0023417C" w:rsidRDefault="0023417C" w:rsidP="00234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23417C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 </w:t>
            </w:r>
          </w:p>
          <w:p w14:paraId="389D80A2" w14:textId="05CCD557" w:rsidR="000F1428" w:rsidRPr="0023417C" w:rsidRDefault="000F14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0D5C9F1F" w14:textId="77777777" w:rsidR="000F1428" w:rsidRPr="0023417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17C">
              <w:rPr>
                <w:rFonts w:ascii="Times New Roman" w:hAnsi="Times New Roman"/>
                <w:sz w:val="20"/>
                <w:szCs w:val="20"/>
              </w:rPr>
              <w:lastRenderedPageBreak/>
              <w:t>Përgjigje</w:t>
            </w:r>
            <w:proofErr w:type="spellEnd"/>
            <w:r w:rsidRPr="0023417C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23417C">
              <w:rPr>
                <w:rFonts w:ascii="Times New Roman" w:hAnsi="Times New Roman"/>
                <w:sz w:val="20"/>
                <w:szCs w:val="20"/>
              </w:rPr>
              <w:t>plotë</w:t>
            </w:r>
            <w:proofErr w:type="spellEnd"/>
          </w:p>
        </w:tc>
        <w:tc>
          <w:tcPr>
            <w:tcW w:w="827" w:type="dxa"/>
            <w:shd w:val="clear" w:color="auto" w:fill="auto"/>
            <w:vAlign w:val="center"/>
          </w:tcPr>
          <w:p w14:paraId="35511AB0" w14:textId="77777777" w:rsidR="000F1428" w:rsidRPr="0023417C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17C"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  <w:tr w:rsidR="00123903" w:rsidRPr="00D833AB" w14:paraId="30FD3867" w14:textId="77777777" w:rsidTr="00666993">
        <w:trPr>
          <w:trHeight w:val="6369"/>
        </w:trPr>
        <w:tc>
          <w:tcPr>
            <w:tcW w:w="1129" w:type="dxa"/>
            <w:shd w:val="clear" w:color="auto" w:fill="auto"/>
            <w:vAlign w:val="center"/>
          </w:tcPr>
          <w:p w14:paraId="10B3C8B4" w14:textId="53B06872" w:rsidR="00123903" w:rsidRPr="00D833AB" w:rsidRDefault="00123903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AB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75CA8" w14:textId="6F4C9833" w:rsidR="00123903" w:rsidRPr="00D833AB" w:rsidRDefault="00123903" w:rsidP="00B61E49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AB">
              <w:rPr>
                <w:rFonts w:ascii="Times New Roman" w:hAnsi="Times New Roman"/>
                <w:sz w:val="20"/>
                <w:szCs w:val="20"/>
              </w:rPr>
              <w:t>04.12.2024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6D1A8CDE" w14:textId="404C29AF" w:rsidR="00123903" w:rsidRPr="00D833AB" w:rsidRDefault="00123903" w:rsidP="00B61E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Sa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ështe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numri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total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studentëve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aktive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sipas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niveleve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të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studimit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?</w:t>
            </w:r>
            <w:proofErr w:type="gram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(Bachelor, Master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dhe</w:t>
            </w:r>
            <w:proofErr w:type="spellEnd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Doktoraturë</w:t>
            </w:r>
            <w:proofErr w:type="spellEnd"/>
            <w:proofErr w:type="gramStart"/>
            <w:r w:rsidRP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Sa </w:t>
            </w:r>
            <w:proofErr w:type="spellStart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eshte</w:t>
            </w:r>
            <w:proofErr w:type="spell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nr total I </w:t>
            </w:r>
            <w:proofErr w:type="spellStart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stafit</w:t>
            </w:r>
            <w:proofErr w:type="spell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akademik</w:t>
            </w:r>
            <w:proofErr w:type="spell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Universitetin</w:t>
            </w:r>
            <w:proofErr w:type="spell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tuaj</w:t>
            </w:r>
            <w:proofErr w:type="spell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ne rang </w:t>
            </w:r>
            <w:proofErr w:type="spellStart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fakulteti</w:t>
            </w:r>
            <w:proofErr w:type="spell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dhe</w:t>
            </w:r>
            <w:proofErr w:type="spell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Universiteti</w:t>
            </w:r>
            <w:proofErr w:type="spell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?</w:t>
            </w:r>
            <w:proofErr w:type="gramEnd"/>
            <w:r w:rsidR="00D833A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9B19CF" w14:textId="64397BCB" w:rsidR="00123903" w:rsidRPr="00D833AB" w:rsidRDefault="00123903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AB">
              <w:rPr>
                <w:rFonts w:ascii="Times New Roman" w:hAnsi="Times New Roman"/>
                <w:sz w:val="20"/>
                <w:szCs w:val="20"/>
              </w:rPr>
              <w:t>11.12.2024</w:t>
            </w:r>
          </w:p>
        </w:tc>
        <w:tc>
          <w:tcPr>
            <w:tcW w:w="4395" w:type="dxa"/>
            <w:shd w:val="clear" w:color="auto" w:fill="auto"/>
          </w:tcPr>
          <w:p w14:paraId="0F39E91A" w14:textId="5944ED40" w:rsidR="00123903" w:rsidRPr="00D833AB" w:rsidRDefault="00123903" w:rsidP="0012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</w:pPr>
            <w:r w:rsidRPr="00D833AB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 Emertimi -  Nr i Studenteve(aktiv 2024-2025)</w:t>
            </w:r>
          </w:p>
          <w:p w14:paraId="444E9507" w14:textId="77777777" w:rsidR="00123903" w:rsidRPr="000A6C0E" w:rsidRDefault="00123903" w:rsidP="0012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51763496" w14:textId="07AC4907" w:rsidR="00123903" w:rsidRPr="000A6C0E" w:rsidRDefault="00123903" w:rsidP="001239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2CC"/>
                <w:lang w:val="it-IT"/>
              </w:rPr>
            </w:pPr>
            <w:r w:rsidRPr="000A6C0E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 </w:t>
            </w: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Bachelor- 6027</w:t>
            </w:r>
          </w:p>
          <w:p w14:paraId="69445D55" w14:textId="6F4AA018" w:rsidR="00123903" w:rsidRPr="000A6C0E" w:rsidRDefault="00123903" w:rsidP="001239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Profesionale 2 vjeçare- 1187</w:t>
            </w:r>
          </w:p>
          <w:p w14:paraId="1CECB806" w14:textId="41460704" w:rsidR="00123903" w:rsidRPr="000A6C0E" w:rsidRDefault="00123903" w:rsidP="001239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PIND – 796</w:t>
            </w:r>
          </w:p>
          <w:p w14:paraId="32FF6E0A" w14:textId="61A3BDAC" w:rsidR="00123903" w:rsidRPr="000A6C0E" w:rsidRDefault="00123903" w:rsidP="001239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Master – 2837</w:t>
            </w:r>
          </w:p>
          <w:p w14:paraId="20F69636" w14:textId="1BFA74CB" w:rsidR="00123903" w:rsidRPr="000A6C0E" w:rsidRDefault="00123903" w:rsidP="001239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Doktorature – 74</w:t>
            </w:r>
          </w:p>
          <w:p w14:paraId="346CF5E5" w14:textId="442C684C" w:rsidR="00123903" w:rsidRPr="00D833AB" w:rsidRDefault="00123903" w:rsidP="0012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</w:pPr>
            <w:r w:rsidRPr="00D833AB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Emertimi -  Nr i Stafit akademik me kohe te plote</w:t>
            </w:r>
          </w:p>
          <w:p w14:paraId="76A9F629" w14:textId="65EB0080" w:rsidR="00123903" w:rsidRPr="000A6C0E" w:rsidRDefault="00123903" w:rsidP="001239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Fakulteti I Shkencave Politike Juridike - 65</w:t>
            </w:r>
          </w:p>
          <w:p w14:paraId="3E95E9EC" w14:textId="0E1F9CC9" w:rsidR="00123903" w:rsidRPr="000A6C0E" w:rsidRDefault="00123903" w:rsidP="001239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Fakulteteti I Biznesit – 71</w:t>
            </w:r>
          </w:p>
          <w:p w14:paraId="6B89C1CC" w14:textId="41A8ADFF" w:rsidR="00123903" w:rsidRPr="000A6C0E" w:rsidRDefault="00243EB8" w:rsidP="001239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Fakulteti I Studimeve Profesionale – 46</w:t>
            </w:r>
          </w:p>
          <w:p w14:paraId="788EEA76" w14:textId="14AED295" w:rsidR="00243EB8" w:rsidRPr="000A6C0E" w:rsidRDefault="00243EB8" w:rsidP="001239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Fakulteti I Teknologji Informacionit – 48</w:t>
            </w:r>
          </w:p>
          <w:p w14:paraId="644213E1" w14:textId="7086CBEF" w:rsidR="00243EB8" w:rsidRPr="000A6C0E" w:rsidRDefault="00243EB8" w:rsidP="001239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Fakulteti I Edukimit – 84 </w:t>
            </w:r>
          </w:p>
          <w:p w14:paraId="7E4A92CC" w14:textId="0DEE896F" w:rsidR="00243EB8" w:rsidRPr="000A6C0E" w:rsidRDefault="00243EB8" w:rsidP="001239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</w:p>
          <w:p w14:paraId="131B1B67" w14:textId="77777777" w:rsidR="00243EB8" w:rsidRPr="00D833AB" w:rsidRDefault="00243EB8" w:rsidP="00123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</w:pPr>
          </w:p>
          <w:p w14:paraId="3293FD67" w14:textId="0F2F4E84" w:rsidR="00243EB8" w:rsidRPr="00D833AB" w:rsidRDefault="00243EB8" w:rsidP="00243E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</w:pPr>
            <w:r w:rsidRPr="00D833AB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Emertimi -  Nr i Stafit akademik me kohe te pjesshme (2024-2025)</w:t>
            </w:r>
          </w:p>
          <w:p w14:paraId="24E3D045" w14:textId="77777777" w:rsidR="00243EB8" w:rsidRPr="00D833AB" w:rsidRDefault="00243EB8" w:rsidP="00243E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</w:pPr>
          </w:p>
          <w:p w14:paraId="20FA117F" w14:textId="53AB314D" w:rsidR="00243EB8" w:rsidRPr="000A6C0E" w:rsidRDefault="00243EB8" w:rsidP="00243E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Fakulteti I Shkencave Politike Juridike - 78</w:t>
            </w:r>
          </w:p>
          <w:p w14:paraId="347DE983" w14:textId="30238E69" w:rsidR="00243EB8" w:rsidRPr="000A6C0E" w:rsidRDefault="00243EB8" w:rsidP="00243E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Fakulteteti I Biznesit – 63</w:t>
            </w:r>
          </w:p>
          <w:p w14:paraId="5D741F27" w14:textId="3008D901" w:rsidR="00243EB8" w:rsidRPr="000A6C0E" w:rsidRDefault="00243EB8" w:rsidP="00243E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>Fakulteti I Studimeve Profesionale – 49</w:t>
            </w:r>
          </w:p>
          <w:p w14:paraId="4ADC0FD5" w14:textId="5C767AC7" w:rsidR="00243EB8" w:rsidRPr="000A6C0E" w:rsidRDefault="00243EB8" w:rsidP="00243E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r w:rsidRPr="000A6C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Fakulteti I Teknologji Informacionit – 20</w:t>
            </w:r>
          </w:p>
          <w:p w14:paraId="77583119" w14:textId="0DEC0739" w:rsidR="00243EB8" w:rsidRPr="00D833AB" w:rsidRDefault="00243EB8" w:rsidP="00243E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D833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Fakulteti</w:t>
            </w:r>
            <w:proofErr w:type="spellEnd"/>
            <w:r w:rsidRPr="00D833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D833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Edukimit</w:t>
            </w:r>
            <w:proofErr w:type="spellEnd"/>
            <w:r w:rsidRPr="00D833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– 43 </w:t>
            </w:r>
          </w:p>
          <w:p w14:paraId="45F9B835" w14:textId="77777777" w:rsidR="00123903" w:rsidRPr="00D833AB" w:rsidRDefault="00123903" w:rsidP="00B61E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2CC"/>
              </w:rPr>
            </w:pPr>
          </w:p>
          <w:p w14:paraId="3B58005A" w14:textId="77777777" w:rsidR="00123903" w:rsidRPr="00D833AB" w:rsidRDefault="00123903" w:rsidP="00B61E4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  <w:tbl>
            <w:tblPr>
              <w:tblW w:w="95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25"/>
              <w:gridCol w:w="3404"/>
              <w:gridCol w:w="25"/>
              <w:gridCol w:w="2086"/>
              <w:gridCol w:w="3429"/>
              <w:gridCol w:w="25"/>
            </w:tblGrid>
            <w:tr w:rsidR="00123903" w:rsidRPr="00123903" w14:paraId="14F912E4" w14:textId="77777777" w:rsidTr="00123903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C658CE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6498BA8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7FAE67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0352A7B9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3903" w:rsidRPr="00123903" w14:paraId="1840DA42" w14:textId="77777777" w:rsidTr="00123903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566E87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8DAF647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326D557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43D33263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3903" w:rsidRPr="00D833AB" w14:paraId="7BC27227" w14:textId="77777777" w:rsidTr="00123903">
              <w:trPr>
                <w:gridAfter w:val="3"/>
                <w:wAfter w:w="5540" w:type="dxa"/>
                <w:trHeight w:val="31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01C4BC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2E4DD7" w14:textId="77777777" w:rsidR="00123903" w:rsidRPr="00123903" w:rsidRDefault="00123903" w:rsidP="001239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1D6D0E18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23903" w:rsidRPr="00D833AB" w14:paraId="4F121176" w14:textId="77777777" w:rsidTr="00123903">
              <w:trPr>
                <w:gridAfter w:val="5"/>
                <w:wAfter w:w="8969" w:type="dxa"/>
                <w:trHeight w:val="300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A22E49" w14:textId="77777777" w:rsidR="00123903" w:rsidRPr="00123903" w:rsidRDefault="00123903" w:rsidP="001239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60E512E0" w14:textId="77777777" w:rsidR="00123903" w:rsidRPr="00123903" w:rsidRDefault="00123903" w:rsidP="001239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B6DB053" w14:textId="3FE1B8AA" w:rsidR="00123903" w:rsidRPr="0023417C" w:rsidRDefault="00123903" w:rsidP="00B61E4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  <w:p w14:paraId="2A121A86" w14:textId="77777777" w:rsidR="00123903" w:rsidRPr="00D833AB" w:rsidRDefault="00123903" w:rsidP="00B61E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13904D44" w14:textId="77777777" w:rsidR="00123903" w:rsidRPr="00D833AB" w:rsidRDefault="00123903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AB">
              <w:rPr>
                <w:rFonts w:ascii="Times New Roman" w:hAnsi="Times New Roman"/>
                <w:sz w:val="20"/>
                <w:szCs w:val="20"/>
              </w:rPr>
              <w:t>Përgjigje</w:t>
            </w:r>
            <w:proofErr w:type="spellEnd"/>
            <w:r w:rsidRPr="00D833AB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D833AB">
              <w:rPr>
                <w:rFonts w:ascii="Times New Roman" w:hAnsi="Times New Roman"/>
                <w:sz w:val="20"/>
                <w:szCs w:val="20"/>
              </w:rPr>
              <w:t>plotë</w:t>
            </w:r>
            <w:proofErr w:type="spellEnd"/>
          </w:p>
        </w:tc>
        <w:tc>
          <w:tcPr>
            <w:tcW w:w="827" w:type="dxa"/>
            <w:shd w:val="clear" w:color="auto" w:fill="auto"/>
            <w:vAlign w:val="center"/>
          </w:tcPr>
          <w:p w14:paraId="21F0E13A" w14:textId="77777777" w:rsidR="00123903" w:rsidRPr="00D833AB" w:rsidRDefault="00123903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AB"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</w:tbl>
    <w:p w14:paraId="6F2712CC" w14:textId="77777777" w:rsidR="000F1428" w:rsidRPr="00D833AB" w:rsidRDefault="000F1428">
      <w:pPr>
        <w:spacing w:after="0"/>
        <w:rPr>
          <w:rFonts w:ascii="Times New Roman" w:hAnsi="Times New Roman"/>
          <w:b/>
          <w:bCs/>
          <w:sz w:val="20"/>
          <w:szCs w:val="20"/>
          <w:lang w:val="it-IT"/>
        </w:rPr>
      </w:pPr>
    </w:p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3926"/>
        <w:gridCol w:w="1195"/>
        <w:gridCol w:w="4253"/>
        <w:gridCol w:w="992"/>
        <w:gridCol w:w="710"/>
      </w:tblGrid>
      <w:tr w:rsidR="00D833AB" w:rsidRPr="00D833AB" w14:paraId="1E6DA884" w14:textId="77777777" w:rsidTr="00FC2347">
        <w:trPr>
          <w:trHeight w:val="6369"/>
        </w:trPr>
        <w:tc>
          <w:tcPr>
            <w:tcW w:w="895" w:type="dxa"/>
            <w:shd w:val="clear" w:color="auto" w:fill="auto"/>
            <w:vAlign w:val="center"/>
          </w:tcPr>
          <w:p w14:paraId="03D77F82" w14:textId="7B43EDFF" w:rsidR="00D833AB" w:rsidRPr="00D833AB" w:rsidRDefault="00D833AB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43633B" w14:textId="256360EA" w:rsidR="00D833AB" w:rsidRPr="00D833AB" w:rsidRDefault="00D833AB" w:rsidP="00B61E49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D833AB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D42D9CD" w14:textId="3126EFA5" w:rsidR="00D833AB" w:rsidRPr="000A6C0E" w:rsidRDefault="00D833AB" w:rsidP="00B61E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A6C0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it-IT"/>
              </w:rPr>
              <w:t xml:space="preserve">Kerkohet nje kopje e shkreses qe Universiteti Aleksander Moisiu I ka derguar QSHA-se per pajisje me nr atrikullimi personit te interesuar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AA619E" w14:textId="780A5A2D" w:rsidR="00D833AB" w:rsidRPr="00D833AB" w:rsidRDefault="00D833AB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18.12.2024</w:t>
            </w:r>
          </w:p>
        </w:tc>
        <w:tc>
          <w:tcPr>
            <w:tcW w:w="4253" w:type="dxa"/>
            <w:shd w:val="clear" w:color="auto" w:fill="auto"/>
          </w:tcPr>
          <w:p w14:paraId="10878527" w14:textId="32CD5A7F" w:rsidR="00D833AB" w:rsidRPr="000A6C0E" w:rsidRDefault="00D833AB" w:rsidP="00D833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2CC"/>
                <w:lang w:val="it-IT"/>
              </w:rPr>
            </w:pPr>
            <w:r w:rsidRPr="00D833AB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 </w:t>
            </w:r>
          </w:p>
          <w:p w14:paraId="3A0BDC0C" w14:textId="77777777" w:rsidR="00D833AB" w:rsidRPr="000A6C0E" w:rsidRDefault="00D833AB" w:rsidP="00B61E4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tbl>
            <w:tblPr>
              <w:tblW w:w="95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25"/>
              <w:gridCol w:w="3404"/>
              <w:gridCol w:w="25"/>
              <w:gridCol w:w="2086"/>
              <w:gridCol w:w="3429"/>
              <w:gridCol w:w="25"/>
            </w:tblGrid>
            <w:tr w:rsidR="00D833AB" w:rsidRPr="000A6C0E" w14:paraId="589AB866" w14:textId="77777777" w:rsidTr="00B61E49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0578A5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5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F24C4D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65F147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73E5F952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D833AB" w:rsidRPr="000A6C0E" w14:paraId="7AFF25C1" w14:textId="77777777" w:rsidTr="00B61E49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2A0F367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5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3A681CC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5CE3E9C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2444B5CC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D833AB" w:rsidRPr="000A6C0E" w14:paraId="75D9D670" w14:textId="77777777" w:rsidTr="00B61E49">
              <w:trPr>
                <w:gridAfter w:val="3"/>
                <w:wAfter w:w="5540" w:type="dxa"/>
                <w:trHeight w:val="31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958445E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3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438950" w14:textId="77777777" w:rsidR="00D833AB" w:rsidRPr="000A6C0E" w:rsidRDefault="00D833AB" w:rsidP="00B61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4BF7A09F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D833AB" w:rsidRPr="000A6C0E" w14:paraId="7F298788" w14:textId="77777777" w:rsidTr="00B61E49">
              <w:trPr>
                <w:gridAfter w:val="5"/>
                <w:wAfter w:w="8969" w:type="dxa"/>
                <w:trHeight w:val="300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1048F5B" w14:textId="77777777" w:rsidR="00D833AB" w:rsidRPr="000A6C0E" w:rsidRDefault="00D833AB" w:rsidP="00B61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66FC7BE2" w14:textId="77777777" w:rsidR="00D833AB" w:rsidRPr="000A6C0E" w:rsidRDefault="00D833AB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774164F6" w14:textId="77777777" w:rsidR="00D833AB" w:rsidRPr="000A6C0E" w:rsidRDefault="00D833AB" w:rsidP="00B61E4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22CB3B9D" w14:textId="489B40AA" w:rsidR="00D833AB" w:rsidRPr="000A6C0E" w:rsidRDefault="00D833AB" w:rsidP="00B61E49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A6C0E">
              <w:rPr>
                <w:rFonts w:ascii="Times New Roman" w:hAnsi="Times New Roman"/>
                <w:sz w:val="20"/>
                <w:szCs w:val="20"/>
                <w:lang w:val="it-IT"/>
              </w:rPr>
              <w:t>Vene ne dispozicion shkresa e kerkuar, personit te interesuar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AAE74" w14:textId="77777777" w:rsidR="00D833AB" w:rsidRPr="00D833AB" w:rsidRDefault="00D833AB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AB">
              <w:rPr>
                <w:rFonts w:ascii="Times New Roman" w:hAnsi="Times New Roman"/>
                <w:sz w:val="20"/>
                <w:szCs w:val="20"/>
              </w:rPr>
              <w:t>Përgjigje</w:t>
            </w:r>
            <w:proofErr w:type="spellEnd"/>
            <w:r w:rsidRPr="00D833AB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D833AB">
              <w:rPr>
                <w:rFonts w:ascii="Times New Roman" w:hAnsi="Times New Roman"/>
                <w:sz w:val="20"/>
                <w:szCs w:val="20"/>
              </w:rPr>
              <w:t>plotë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14:paraId="39C38FBA" w14:textId="77777777" w:rsidR="00D833AB" w:rsidRPr="00D833AB" w:rsidRDefault="00D833AB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AB"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  <w:tr w:rsidR="0074390A" w:rsidRPr="00D833AB" w14:paraId="348394E8" w14:textId="77777777" w:rsidTr="00FC2347">
        <w:trPr>
          <w:trHeight w:val="6369"/>
        </w:trPr>
        <w:tc>
          <w:tcPr>
            <w:tcW w:w="895" w:type="dxa"/>
            <w:shd w:val="clear" w:color="auto" w:fill="auto"/>
            <w:vAlign w:val="center"/>
          </w:tcPr>
          <w:p w14:paraId="5EBC0851" w14:textId="55D2CE8C" w:rsidR="0074390A" w:rsidRPr="00D833AB" w:rsidRDefault="0074390A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3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97E842" w14:textId="7FD52488" w:rsidR="0074390A" w:rsidRPr="00D833AB" w:rsidRDefault="0074390A" w:rsidP="00B61E49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10.12.2024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747BAC83" w14:textId="38DE541C" w:rsidR="00FC2347" w:rsidRPr="00FC2347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FC234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1.Numri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aplikimeve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pranuara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numri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kandidatëve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përzgjedhur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për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secilin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prej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fakulteteve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departamenteve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.  </w:t>
            </w:r>
          </w:p>
          <w:p w14:paraId="479605D1" w14:textId="77777777" w:rsidR="00FC2347" w:rsidRPr="00FC2347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  <w:p w14:paraId="6169EFE0" w14:textId="41C252CA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0A6C0E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2. Lista e kandidatëve të pranuar për pozicionet e shpallura në secilin fakultet dhe departament.  </w:t>
            </w:r>
          </w:p>
          <w:p w14:paraId="3824531F" w14:textId="77777777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64959192" w14:textId="77777777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0A6C0E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3. Procedura që ndiqet për përzgjedhjen e kandidatëve dhe afatet kohore të këtij procesi.  </w:t>
            </w:r>
          </w:p>
          <w:p w14:paraId="58FE688D" w14:textId="6B28BE38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32FDD33F" w14:textId="77777777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0A6C0E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4. Mënyra dhe procedura e njoftimit të aplikantëve mbi rezultatet përfundimtare. </w:t>
            </w:r>
          </w:p>
          <w:p w14:paraId="4E9DF28D" w14:textId="068EDBA9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1C6EDCD2" w14:textId="77777777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0A6C0E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Sa lektorë me kohë të pjesshme ka gjithsej UAMD?</w:t>
            </w:r>
          </w:p>
          <w:p w14:paraId="641A36B5" w14:textId="7F39C7DE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0A6C0E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Sa janë rekrutuar këtë vit akademik në total?</w:t>
            </w:r>
          </w:p>
          <w:p w14:paraId="5CB1B676" w14:textId="77777777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28B1BE9C" w14:textId="77777777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0A6C0E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-Po me kohë të plotë gjithsej?</w:t>
            </w:r>
          </w:p>
          <w:p w14:paraId="45EA362C" w14:textId="77777777" w:rsidR="00FC2347" w:rsidRPr="000A6C0E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452D051C" w14:textId="77777777" w:rsidR="00FC2347" w:rsidRPr="00FC2347" w:rsidRDefault="00FC2347" w:rsidP="00FC2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Sa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studentë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janë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aktualisht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të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regjistruar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në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dy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ciklet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studimit</w:t>
            </w:r>
            <w:proofErr w:type="spellEnd"/>
            <w:r w:rsidRPr="00FC2347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?</w:t>
            </w:r>
          </w:p>
          <w:p w14:paraId="54B62E33" w14:textId="086A6399" w:rsidR="0074390A" w:rsidRPr="00D833AB" w:rsidRDefault="0074390A" w:rsidP="007B34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C174F0A" w14:textId="2B349628" w:rsidR="0074390A" w:rsidRPr="00D833AB" w:rsidRDefault="0074390A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5401DC8" w14:textId="77777777" w:rsidR="0074390A" w:rsidRPr="000A6C0E" w:rsidRDefault="0074390A" w:rsidP="00B61E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2CC"/>
                <w:lang w:val="it-IT"/>
              </w:rPr>
            </w:pPr>
            <w:r w:rsidRPr="00D833AB">
              <w:rPr>
                <w:rFonts w:ascii="Times New Roman" w:eastAsia="Times New Roman" w:hAnsi="Times New Roman"/>
                <w:color w:val="222222"/>
                <w:sz w:val="20"/>
                <w:szCs w:val="20"/>
                <w:lang w:val="sq-AL"/>
              </w:rPr>
              <w:t> </w:t>
            </w:r>
          </w:p>
          <w:p w14:paraId="17C351E8" w14:textId="77777777" w:rsidR="0074390A" w:rsidRPr="000A6C0E" w:rsidRDefault="0074390A" w:rsidP="00B61E4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tbl>
            <w:tblPr>
              <w:tblW w:w="95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25"/>
              <w:gridCol w:w="3404"/>
              <w:gridCol w:w="25"/>
              <w:gridCol w:w="2086"/>
              <w:gridCol w:w="3429"/>
              <w:gridCol w:w="25"/>
            </w:tblGrid>
            <w:tr w:rsidR="0074390A" w:rsidRPr="000A6C0E" w14:paraId="1099798F" w14:textId="77777777" w:rsidTr="00B61E49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B29F95D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5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503495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3FE2321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67966B26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74390A" w:rsidRPr="000A6C0E" w14:paraId="0E58DE25" w14:textId="77777777" w:rsidTr="00B61E49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AD913E0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5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DC69AB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6CE912D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2DA42CD6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74390A" w:rsidRPr="000A6C0E" w14:paraId="0E0C68DB" w14:textId="77777777" w:rsidTr="00B61E49">
              <w:trPr>
                <w:gridAfter w:val="3"/>
                <w:wAfter w:w="5540" w:type="dxa"/>
                <w:trHeight w:val="31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24EE11A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3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1E43A4" w14:textId="77777777" w:rsidR="0074390A" w:rsidRPr="000A6C0E" w:rsidRDefault="0074390A" w:rsidP="00B61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4F15AFF7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74390A" w:rsidRPr="000A6C0E" w14:paraId="20FF3992" w14:textId="77777777" w:rsidTr="00B61E49">
              <w:trPr>
                <w:gridAfter w:val="5"/>
                <w:wAfter w:w="8969" w:type="dxa"/>
                <w:trHeight w:val="300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D1F5009" w14:textId="77777777" w:rsidR="0074390A" w:rsidRPr="000A6C0E" w:rsidRDefault="0074390A" w:rsidP="00B61E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14:paraId="054E1EC6" w14:textId="77777777" w:rsidR="0074390A" w:rsidRPr="000A6C0E" w:rsidRDefault="0074390A" w:rsidP="00B61E4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it-IT"/>
                    </w:rPr>
                  </w:pPr>
                </w:p>
              </w:tc>
            </w:tr>
          </w:tbl>
          <w:p w14:paraId="7A504CE2" w14:textId="77777777" w:rsidR="0074390A" w:rsidRPr="000A6C0E" w:rsidRDefault="0074390A" w:rsidP="00B61E4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</w:p>
          <w:p w14:paraId="75A278CD" w14:textId="38011D3C" w:rsidR="0074390A" w:rsidRPr="000A6C0E" w:rsidRDefault="00FC2347" w:rsidP="00B61E49">
            <w:pPr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A6C0E">
              <w:rPr>
                <w:rFonts w:ascii="Times New Roman" w:hAnsi="Times New Roman"/>
                <w:sz w:val="20"/>
                <w:szCs w:val="20"/>
                <w:lang w:val="it-IT"/>
              </w:rPr>
              <w:t>Kerkesa nuk eshte reaizuar ne formatin e duhur, pa mjet identifikimi dhe pa nenshkrimin e personit te identifikuar. Kerkuar orej koordinatorit ten a e dergojne ne formatin e duhur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156AB" w14:textId="63779AE6" w:rsidR="0074390A" w:rsidRPr="00D833AB" w:rsidRDefault="00FC2347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pergjigje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14:paraId="4F66C43F" w14:textId="77777777" w:rsidR="0074390A" w:rsidRPr="00D833AB" w:rsidRDefault="0074390A" w:rsidP="00B61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3AB"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</w:tbl>
    <w:p w14:paraId="49090B74" w14:textId="233E4226" w:rsidR="000F1428" w:rsidRPr="00D833AB" w:rsidRDefault="000A6C0E">
      <w:pPr>
        <w:spacing w:after="0"/>
        <w:rPr>
          <w:rFonts w:ascii="Times New Roman" w:hAnsi="Times New Roman"/>
          <w:b/>
          <w:bCs/>
          <w:sz w:val="20"/>
          <w:szCs w:val="20"/>
          <w:lang w:val="it-IT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t-IT"/>
        </w:rPr>
        <w:drawing>
          <wp:anchor distT="0" distB="0" distL="114300" distR="114300" simplePos="0" relativeHeight="251658240" behindDoc="0" locked="0" layoutInCell="1" allowOverlap="1" wp14:anchorId="32D5E113" wp14:editId="763706AE">
            <wp:simplePos x="0" y="0"/>
            <wp:positionH relativeFrom="column">
              <wp:posOffset>3762375</wp:posOffset>
            </wp:positionH>
            <wp:positionV relativeFrom="paragraph">
              <wp:posOffset>29210</wp:posOffset>
            </wp:positionV>
            <wp:extent cx="1504950" cy="1809750"/>
            <wp:effectExtent l="0" t="0" r="0" b="0"/>
            <wp:wrapSquare wrapText="bothSides"/>
            <wp:docPr id="18313668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937FB" w14:textId="136EF874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DE39F78" w14:textId="22F9CAB9" w:rsidR="000F1428" w:rsidRDefault="00000000" w:rsidP="000A6C0E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Koordinatore për të Drejtën për Informim</w:t>
      </w:r>
    </w:p>
    <w:p w14:paraId="6D0AB057" w14:textId="77777777" w:rsidR="000A6C0E" w:rsidRDefault="00000000" w:rsidP="000A6C0E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Universiteti “Aleksanër Moisiu” Durrës</w:t>
      </w:r>
      <w:r w:rsidR="000A6C0E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14:paraId="069D371B" w14:textId="3C88F423" w:rsidR="000F1428" w:rsidRDefault="00000000" w:rsidP="000A6C0E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Vilma Tepelena</w:t>
      </w:r>
    </w:p>
    <w:p w14:paraId="5857B14B" w14:textId="20D630E0" w:rsidR="000F1428" w:rsidRPr="000A6C0E" w:rsidRDefault="00000000">
      <w:pPr>
        <w:tabs>
          <w:tab w:val="left" w:pos="7305"/>
        </w:tabs>
        <w:rPr>
          <w:lang w:val="it-IT"/>
        </w:rPr>
      </w:pPr>
      <w:r w:rsidRPr="000A6C0E">
        <w:rPr>
          <w:lang w:val="it-IT"/>
        </w:rPr>
        <w:tab/>
      </w:r>
    </w:p>
    <w:p w14:paraId="373963B6" w14:textId="77777777" w:rsidR="000F1428" w:rsidRPr="000A6C0E" w:rsidRDefault="000F1428">
      <w:pPr>
        <w:rPr>
          <w:lang w:val="it-IT"/>
        </w:rPr>
      </w:pPr>
    </w:p>
    <w:sectPr w:rsidR="000F1428" w:rsidRPr="000A6C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B105" w14:textId="77777777" w:rsidR="00DF2965" w:rsidRDefault="00DF2965">
      <w:pPr>
        <w:spacing w:line="240" w:lineRule="auto"/>
      </w:pPr>
      <w:r>
        <w:separator/>
      </w:r>
    </w:p>
  </w:endnote>
  <w:endnote w:type="continuationSeparator" w:id="0">
    <w:p w14:paraId="1D26F244" w14:textId="77777777" w:rsidR="00DF2965" w:rsidRDefault="00DF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AF37" w14:textId="77777777" w:rsidR="00DF2965" w:rsidRDefault="00DF2965">
      <w:pPr>
        <w:spacing w:after="0"/>
      </w:pPr>
      <w:r>
        <w:separator/>
      </w:r>
    </w:p>
  </w:footnote>
  <w:footnote w:type="continuationSeparator" w:id="0">
    <w:p w14:paraId="3DBD1537" w14:textId="77777777" w:rsidR="00DF2965" w:rsidRDefault="00DF2965">
      <w:pPr>
        <w:spacing w:after="0"/>
      </w:pPr>
      <w:r>
        <w:continuationSeparator/>
      </w:r>
    </w:p>
  </w:footnote>
  <w:footnote w:id="1">
    <w:p w14:paraId="603D7CD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rendor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regjistruara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Regjistrin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Përgjigjeve</w:t>
      </w:r>
      <w:proofErr w:type="spellEnd"/>
    </w:p>
  </w:footnote>
  <w:footnote w:id="2">
    <w:p w14:paraId="31EAB5F2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proofErr w:type="spellStart"/>
      <w:r>
        <w:rPr>
          <w:rFonts w:ascii="Times New Roman" w:hAnsi="Times New Roman"/>
          <w:bCs/>
        </w:rPr>
        <w:t>regjistrimit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kërkesës</w:t>
      </w:r>
      <w:proofErr w:type="spellEnd"/>
    </w:p>
  </w:footnote>
  <w:footnote w:id="3">
    <w:p w14:paraId="1452D218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Përmbledhje</w:t>
      </w:r>
      <w:proofErr w:type="spellEnd"/>
      <w:r>
        <w:rPr>
          <w:rFonts w:ascii="Times New Roman" w:hAnsi="Times New Roman"/>
          <w:bCs/>
        </w:rPr>
        <w:t xml:space="preserve"> e </w:t>
      </w:r>
      <w:proofErr w:type="spellStart"/>
      <w:r>
        <w:rPr>
          <w:rFonts w:ascii="Times New Roman" w:hAnsi="Times New Roman"/>
          <w:bCs/>
        </w:rPr>
        <w:t>objektit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kërkesës</w:t>
      </w:r>
      <w:proofErr w:type="spellEnd"/>
      <w:r>
        <w:rPr>
          <w:rFonts w:ascii="Times New Roman" w:hAnsi="Times New Roman"/>
          <w:bCs/>
        </w:rPr>
        <w:t xml:space="preserve"> duke u </w:t>
      </w:r>
      <w:proofErr w:type="spellStart"/>
      <w:r>
        <w:rPr>
          <w:rFonts w:ascii="Times New Roman" w:hAnsi="Times New Roman"/>
          <w:bCs/>
        </w:rPr>
        <w:t>anonimizuar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14:paraId="485299A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proofErr w:type="spellStart"/>
      <w:r>
        <w:rPr>
          <w:rFonts w:ascii="Times New Roman" w:hAnsi="Times New Roman"/>
          <w:bCs/>
        </w:rPr>
        <w:t>kthimit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përgjigjes</w:t>
      </w:r>
      <w:proofErr w:type="spellEnd"/>
    </w:p>
  </w:footnote>
  <w:footnote w:id="5">
    <w:p w14:paraId="23DD07E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përgjigjes</w:t>
      </w:r>
      <w:proofErr w:type="spellEnd"/>
      <w:r>
        <w:rPr>
          <w:rFonts w:ascii="Times New Roman" w:hAnsi="Times New Roman"/>
          <w:bCs/>
        </w:rPr>
        <w:t xml:space="preserve"> duke u </w:t>
      </w:r>
      <w:proofErr w:type="spellStart"/>
      <w:r>
        <w:rPr>
          <w:rFonts w:ascii="Times New Roman" w:hAnsi="Times New Roman"/>
          <w:bCs/>
        </w:rPr>
        <w:t>anonimizuar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14:paraId="71846B19" w14:textId="77777777" w:rsidR="000F1428" w:rsidRPr="000A6C0E" w:rsidRDefault="00000000">
      <w:pPr>
        <w:pStyle w:val="FootnoteText"/>
        <w:rPr>
          <w:rFonts w:ascii="Times New Roman" w:hAnsi="Times New Roman"/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0A6C0E">
        <w:rPr>
          <w:rFonts w:ascii="Times New Roman" w:hAnsi="Times New Roman"/>
          <w:lang w:val="it-IT"/>
        </w:rPr>
        <w:t xml:space="preserve"> Përgjigja jepet E plotë/ E kufizuar/ E refuzuar/E deleguar</w:t>
      </w:r>
    </w:p>
  </w:footnote>
  <w:footnote w:id="7">
    <w:p w14:paraId="000DA3E8" w14:textId="77777777" w:rsidR="000F1428" w:rsidRPr="000A6C0E" w:rsidRDefault="00000000">
      <w:pPr>
        <w:pStyle w:val="FootnoteText"/>
        <w:rPr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0A6C0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Kosto monetare e riprodhimit (kur është rasti dhe e dërgimit) t</w:t>
      </w:r>
      <w:r>
        <w:rPr>
          <w:rFonts w:ascii="Times New Roman" w:eastAsia="MingLiU-ExtB" w:hAnsi="Times New Roman"/>
          <w:lang w:val="it-IT"/>
        </w:rPr>
        <w:t xml:space="preserve">ë </w:t>
      </w:r>
      <w:r>
        <w:rPr>
          <w:rFonts w:ascii="Times New Roman" w:hAnsi="Times New Roman"/>
          <w:lang w:val="it-IT"/>
        </w:rPr>
        <w:t>informacionit të kërkuar sipas tarifave të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423C6"/>
    <w:multiLevelType w:val="multilevel"/>
    <w:tmpl w:val="45FA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8B2C93"/>
    <w:multiLevelType w:val="multilevel"/>
    <w:tmpl w:val="7998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130077">
    <w:abstractNumId w:val="1"/>
  </w:num>
  <w:num w:numId="2" w16cid:durableId="121904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BE"/>
    <w:rsid w:val="000306F1"/>
    <w:rsid w:val="00047662"/>
    <w:rsid w:val="00057312"/>
    <w:rsid w:val="00086EDC"/>
    <w:rsid w:val="00095517"/>
    <w:rsid w:val="000A6C0E"/>
    <w:rsid w:val="000F1428"/>
    <w:rsid w:val="000F2225"/>
    <w:rsid w:val="00123903"/>
    <w:rsid w:val="001D69A5"/>
    <w:rsid w:val="001E1E59"/>
    <w:rsid w:val="001F5AA8"/>
    <w:rsid w:val="0020655E"/>
    <w:rsid w:val="00206A61"/>
    <w:rsid w:val="002279EE"/>
    <w:rsid w:val="0023417C"/>
    <w:rsid w:val="00243EB8"/>
    <w:rsid w:val="00244CE7"/>
    <w:rsid w:val="00244D68"/>
    <w:rsid w:val="00276C3D"/>
    <w:rsid w:val="002A7330"/>
    <w:rsid w:val="002B36D7"/>
    <w:rsid w:val="002C5FC3"/>
    <w:rsid w:val="002D7F45"/>
    <w:rsid w:val="003466B5"/>
    <w:rsid w:val="003C6A57"/>
    <w:rsid w:val="003D0D69"/>
    <w:rsid w:val="003D6FE4"/>
    <w:rsid w:val="003F6127"/>
    <w:rsid w:val="00402D54"/>
    <w:rsid w:val="004032D3"/>
    <w:rsid w:val="004244BE"/>
    <w:rsid w:val="00443CF0"/>
    <w:rsid w:val="00465006"/>
    <w:rsid w:val="00476A20"/>
    <w:rsid w:val="004C0CA4"/>
    <w:rsid w:val="004C28EA"/>
    <w:rsid w:val="004D11A9"/>
    <w:rsid w:val="004D6F99"/>
    <w:rsid w:val="0051283B"/>
    <w:rsid w:val="00534202"/>
    <w:rsid w:val="0054335D"/>
    <w:rsid w:val="005C2857"/>
    <w:rsid w:val="005F1855"/>
    <w:rsid w:val="00635D7B"/>
    <w:rsid w:val="00666993"/>
    <w:rsid w:val="006E3D52"/>
    <w:rsid w:val="006E4060"/>
    <w:rsid w:val="006E7B19"/>
    <w:rsid w:val="00702435"/>
    <w:rsid w:val="00717A02"/>
    <w:rsid w:val="00731BB9"/>
    <w:rsid w:val="0074390A"/>
    <w:rsid w:val="0075595A"/>
    <w:rsid w:val="007951D0"/>
    <w:rsid w:val="0079622F"/>
    <w:rsid w:val="007B34A9"/>
    <w:rsid w:val="008B4156"/>
    <w:rsid w:val="008D014E"/>
    <w:rsid w:val="008F4462"/>
    <w:rsid w:val="009971A7"/>
    <w:rsid w:val="009A6EAD"/>
    <w:rsid w:val="009D6ABB"/>
    <w:rsid w:val="00A353E8"/>
    <w:rsid w:val="00A438CF"/>
    <w:rsid w:val="00A613BE"/>
    <w:rsid w:val="00A977E1"/>
    <w:rsid w:val="00AB1A36"/>
    <w:rsid w:val="00B03CF7"/>
    <w:rsid w:val="00B12FAC"/>
    <w:rsid w:val="00B132A3"/>
    <w:rsid w:val="00B762A2"/>
    <w:rsid w:val="00BB320D"/>
    <w:rsid w:val="00BB43CC"/>
    <w:rsid w:val="00C114DB"/>
    <w:rsid w:val="00C52005"/>
    <w:rsid w:val="00C55E49"/>
    <w:rsid w:val="00C62D8D"/>
    <w:rsid w:val="00C757E9"/>
    <w:rsid w:val="00CC4B88"/>
    <w:rsid w:val="00CD715E"/>
    <w:rsid w:val="00CF26A2"/>
    <w:rsid w:val="00CF3D18"/>
    <w:rsid w:val="00D335A7"/>
    <w:rsid w:val="00D5001B"/>
    <w:rsid w:val="00D74A5D"/>
    <w:rsid w:val="00D833AB"/>
    <w:rsid w:val="00DA152F"/>
    <w:rsid w:val="00DF2965"/>
    <w:rsid w:val="00E51134"/>
    <w:rsid w:val="00E52239"/>
    <w:rsid w:val="00E928B5"/>
    <w:rsid w:val="00EA245B"/>
    <w:rsid w:val="00EA2809"/>
    <w:rsid w:val="00EB24FE"/>
    <w:rsid w:val="00EB2733"/>
    <w:rsid w:val="00EB5389"/>
    <w:rsid w:val="00F04E44"/>
    <w:rsid w:val="00F14CCB"/>
    <w:rsid w:val="00F4644D"/>
    <w:rsid w:val="00F46D64"/>
    <w:rsid w:val="00F63E89"/>
    <w:rsid w:val="00F818B1"/>
    <w:rsid w:val="00F94264"/>
    <w:rsid w:val="00FB729F"/>
    <w:rsid w:val="00FC2347"/>
    <w:rsid w:val="00FD55CE"/>
    <w:rsid w:val="00FE4FA8"/>
    <w:rsid w:val="0FC81CE6"/>
    <w:rsid w:val="268E085C"/>
    <w:rsid w:val="682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BA7"/>
  <w15:docId w15:val="{92ACE959-BF66-4806-B077-0DAB554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yiv6149944498msonormal">
    <w:name w:val="yiv6149944498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amd.edu.al/wp-content/uploads/2023/02/Rregullore-UAMD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godenijuliana@outlook.com</dc:creator>
  <cp:lastModifiedBy>DurresInfo Portal</cp:lastModifiedBy>
  <cp:revision>2</cp:revision>
  <cp:lastPrinted>2024-05-02T09:29:00Z</cp:lastPrinted>
  <dcterms:created xsi:type="dcterms:W3CDTF">2024-12-23T13:14:00Z</dcterms:created>
  <dcterms:modified xsi:type="dcterms:W3CDTF">2024-12-23T13:14:00Z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EE7CCF66AFED41BFBCBA4284CCF45447_13</vt:lpwstr>
  </property>
</Properties>
</file>