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D18" w:rsidRPr="0021270B" w:rsidRDefault="00CF3D18" w:rsidP="00CF3D1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F3D18" w:rsidRDefault="00CF3D18" w:rsidP="00CF3D18"/>
    <w:tbl>
      <w:tblPr>
        <w:tblW w:w="1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2970"/>
        <w:gridCol w:w="1800"/>
        <w:gridCol w:w="3240"/>
        <w:gridCol w:w="1350"/>
        <w:gridCol w:w="23"/>
        <w:gridCol w:w="827"/>
      </w:tblGrid>
      <w:tr w:rsidR="00CF3D18" w:rsidRPr="00323E8E" w:rsidTr="00981B1D">
        <w:trPr>
          <w:trHeight w:val="546"/>
        </w:trPr>
        <w:tc>
          <w:tcPr>
            <w:tcW w:w="1345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Rendor </w:t>
            </w:r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3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3"/>
            </w: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324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5"/>
            </w: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Mënyra</w:t>
            </w:r>
            <w:proofErr w:type="spellEnd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përfundimit</w:t>
            </w:r>
            <w:proofErr w:type="spellEnd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kërkesës</w:t>
            </w:r>
            <w:proofErr w:type="spellEnd"/>
            <w:r w:rsidRPr="00323E8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850" w:type="dxa"/>
            <w:gridSpan w:val="2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Tarifa</w:t>
            </w:r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7"/>
            </w: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D18" w:rsidTr="00981B1D">
        <w:trPr>
          <w:trHeight w:val="125"/>
        </w:trPr>
        <w:tc>
          <w:tcPr>
            <w:tcW w:w="1345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kopje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zyrtare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Hume Cana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3240" w:type="dxa"/>
            <w:shd w:val="clear" w:color="auto" w:fill="auto"/>
          </w:tcPr>
          <w:p w:rsidR="00EB24FE" w:rsidRPr="00EB24FE" w:rsidRDefault="00EB24FE" w:rsidP="00EB24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Ne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pergjigje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shkreses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Komisionerit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per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drejten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per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Informim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dhe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Mbrojtjen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dhenave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personale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nr 234/2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prot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date 31.01.2023 " Mbi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ankimin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ndaj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refuzimit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per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dhenie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informacioni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dhe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kopje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dokumentave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zyrtare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"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bejme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dije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nuk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jemi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vene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dijeni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me pare,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pasi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adresa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koordinatorit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per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drejten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per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Informim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prane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Universitetit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" Aleksander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Moisiu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" Durres,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eshte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: </w:t>
            </w:r>
            <w:hyperlink r:id="rId6" w:tgtFrame="_blank" w:history="1">
              <w:r w:rsidRPr="00EB24FE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vilmatepelena@uamd.edu.al</w:t>
              </w:r>
            </w:hyperlink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dhe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jo </w:t>
            </w:r>
            <w:hyperlink r:id="rId7" w:tgtFrame="_blank" w:history="1">
              <w:r w:rsidRPr="00EB24FE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info@uamd.edu.al</w:t>
              </w:r>
            </w:hyperlink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 </w:t>
            </w:r>
          </w:p>
          <w:p w:rsidR="00EB24FE" w:rsidRDefault="00EB24FE" w:rsidP="00EB24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 xml:space="preserve">Ne keto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kushte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 me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anen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shkreses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sipercituar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protokolluar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prane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nesh me date 02.02.2023,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jemi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vene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dijeni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problematikes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perkatese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dhe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vijim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do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procedojme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venien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dispozicion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informacionit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kerkuar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shpejt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jete e </w:t>
            </w:r>
            <w:proofErr w:type="spellStart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mundur</w:t>
            </w:r>
            <w:proofErr w:type="spellEnd"/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F4644D" w:rsidRDefault="00F4644D" w:rsidP="00EB24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E52239" w:rsidRDefault="00E52239" w:rsidP="00EB24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Njekohesisht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 po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veme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dispozion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edhe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informacionin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kerkuar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shkrese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poshte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vijon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:</w:t>
            </w:r>
          </w:p>
          <w:p w:rsidR="00E52239" w:rsidRPr="00E52239" w:rsidRDefault="00EB24FE" w:rsidP="00E52239">
            <w:pPr>
              <w:shd w:val="clear" w:color="auto" w:fill="FFFFFF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B24F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E52239"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Ju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informojmë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që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nuk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ka VKM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ose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Urdhër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specifik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njohjen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diplomave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Bachelor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lëshuara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Institucione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Arsimit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Lartë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-jo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publike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Universitetin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"Aleksandër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Moisiu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Durrës</w:t>
            </w:r>
            <w:proofErr w:type="spellEnd"/>
            <w:r w:rsidR="00E52239"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Bazuar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Ligjin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80/2015 "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Arsimin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Lartë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Kërkimin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Shkencor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Institucionet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Arsimit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Lartë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Republikën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Shqipërise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Udhëzim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Nr.10,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15.05.2019 "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lastRenderedPageBreak/>
              <w:t>procedurat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aplikimit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regjistrimit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programet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ciklit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parë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studimeve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programet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studimeve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me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karakter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profesional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programet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integruara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ciklit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dytë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studimeve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institucionet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arsimit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lartë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" (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Ndryshuar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me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udhëzimin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nr. 17,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30.7.2019; nr. 19,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10.9.2019, nr. 15,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26.5.2020, nr. 17,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23.6.2020, nr. 25,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1.12.2020; nr. 11,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2.6.2021)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Pranimi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kandidatëve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programet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ciklit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dytë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Master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Shkencave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Master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Profesional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nuk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kufizohet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statusi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mbyllur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ose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aktiv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Institucionit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lëshuar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diplomën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por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bazuar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Kreun IV/4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neni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8 pika a)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b)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përcaktohet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kanë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drejtë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aplikojnë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programet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ciklit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dytë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kandidatët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: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a)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kanë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përfunduar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me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sukses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studimet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janë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lastRenderedPageBreak/>
              <w:t>pajisur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me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diplomën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përkatëse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vlefshme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Republikën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Shqipërisë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një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program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ciklit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parë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cili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rezulton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licencuar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momentin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regjistrimit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studentit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akredituar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momentin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diplomimit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studentit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ose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;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b)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janë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diplomuar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jashtë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vendit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një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program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studimi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ciklit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parë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akredituar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rast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pranimi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kandidati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është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detyruar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kryejë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njësimin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diplomës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pranë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QSHA-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brenda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muajit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përcaktuar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shtojcën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nr. 10,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këtij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udhëzimi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.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Komisionet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ngritura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çdo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vit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shqyrtojn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aplikimet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kandidatëve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student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ciklin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dytë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verifikojnë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dokumentacionin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dorëzuar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kandidatët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Një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ndër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dokumentat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është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 diploma Bachelor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ose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ekuivalente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cila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duhet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jetë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lëshuar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një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Institucion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Arsimit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Lartë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liçensuar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Republikën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Shqipërisë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një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liçensuar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momentin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regjistrimit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studentit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mbartë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diplomës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akredituar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momentin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lëshimit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diplomës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këtë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arsye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rikonfirmoj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nuk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ka VKM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ose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Urdhër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përcakton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nëse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UAMD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njeh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ose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jo diplomat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lëshuara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Institucione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Arsimit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Lartë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Universiteti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"Aleksandër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Moisiu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Durrës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verifikon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çdo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rast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vlefshmërinë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diplomës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kandidatëve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për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student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ciklin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dytë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Master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Shkencave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Master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Profesional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konform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ligjit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Arsimit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Lartë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ndikuar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statusi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Institucionit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ka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lëshuar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Njëkohesisht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bashkëlidhur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këtij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emaili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gjeni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listën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numrin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studentëve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nivel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master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cilët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mbajtës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një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diplome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bachelor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ish-Universitetet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Private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mbyllura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dhe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diplomuar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nga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Universiteti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"Aleksandër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Moisiu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Durrës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 Mastera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Profesional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ose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Shkencor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gjatë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viteve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të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  <w:proofErr w:type="spellStart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fundit</w:t>
            </w:r>
            <w:proofErr w:type="spellEnd"/>
            <w:r w:rsidRPr="00E522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 </w:t>
            </w:r>
          </w:p>
          <w:p w:rsidR="00E52239" w:rsidRPr="00E52239" w:rsidRDefault="00E52239" w:rsidP="00E522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EB24FE" w:rsidRPr="00EB24FE" w:rsidRDefault="00EB24FE" w:rsidP="00EB24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CF3D18" w:rsidRDefault="00CF3D18" w:rsidP="00EB24FE">
            <w:pPr>
              <w:spacing w:after="0" w:line="240" w:lineRule="auto"/>
              <w:ind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Përgjigje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Pjesshme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S’ka</w:t>
            </w:r>
            <w:proofErr w:type="spellEnd"/>
          </w:p>
        </w:tc>
      </w:tr>
    </w:tbl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Pr="00A96256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K</w:t>
      </w: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 xml:space="preserve">oordinatore për të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 xml:space="preserve">rejtën për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>nformi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</w:t>
      </w:r>
    </w:p>
    <w:p w:rsidR="00CF3D18" w:rsidRPr="00A96256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>Universiteti “Aleksanër Moisiu” Durrës</w:t>
      </w:r>
    </w:p>
    <w:p w:rsidR="00CF3D18" w:rsidRPr="00A96256" w:rsidRDefault="00CF3D18" w:rsidP="00CF3D18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Vilma Tepelena</w:t>
      </w:r>
    </w:p>
    <w:p w:rsidR="00CF3D18" w:rsidRDefault="00CF3D18" w:rsidP="00CF3D18">
      <w:pPr>
        <w:tabs>
          <w:tab w:val="left" w:pos="7305"/>
        </w:tabs>
      </w:pPr>
      <w:r>
        <w:tab/>
      </w:r>
    </w:p>
    <w:p w:rsidR="007A2AB1" w:rsidRDefault="00000000"/>
    <w:sectPr w:rsidR="007A2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6ABB" w:rsidRDefault="009D6ABB" w:rsidP="00CF3D18">
      <w:pPr>
        <w:spacing w:after="0" w:line="240" w:lineRule="auto"/>
      </w:pPr>
      <w:r>
        <w:separator/>
      </w:r>
    </w:p>
  </w:endnote>
  <w:endnote w:type="continuationSeparator" w:id="0">
    <w:p w:rsidR="009D6ABB" w:rsidRDefault="009D6ABB" w:rsidP="00CF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ABB" w:rsidRDefault="009D6ABB" w:rsidP="00CF3D18">
      <w:pPr>
        <w:spacing w:after="0" w:line="240" w:lineRule="auto"/>
      </w:pPr>
      <w:r>
        <w:separator/>
      </w:r>
    </w:p>
  </w:footnote>
  <w:footnote w:type="continuationSeparator" w:id="0">
    <w:p w:rsidR="009D6ABB" w:rsidRDefault="009D6ABB" w:rsidP="00CF3D18">
      <w:pPr>
        <w:spacing w:after="0" w:line="240" w:lineRule="auto"/>
      </w:pPr>
      <w:r>
        <w:continuationSeparator/>
      </w:r>
    </w:p>
  </w:footnote>
  <w:footnote w:id="1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Numri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rendor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k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regjistruara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DF38D5">
        <w:rPr>
          <w:rFonts w:ascii="Times New Roman" w:hAnsi="Times New Roman"/>
        </w:rPr>
        <w:t>egjistrin</w:t>
      </w:r>
      <w:proofErr w:type="spellEnd"/>
      <w:r w:rsidRPr="00DF38D5"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dhe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</w:t>
      </w:r>
      <w:r w:rsidRPr="00DF38D5">
        <w:rPr>
          <w:rFonts w:ascii="Times New Roman" w:hAnsi="Times New Roman"/>
        </w:rPr>
        <w:t>rgjigjeve</w:t>
      </w:r>
      <w:proofErr w:type="spellEnd"/>
    </w:p>
  </w:footnote>
  <w:footnote w:id="2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regjistrimit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</w:p>
  </w:footnote>
  <w:footnote w:id="3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Përmbledhje</w:t>
      </w:r>
      <w:proofErr w:type="spellEnd"/>
      <w:r w:rsidRPr="00DF38D5">
        <w:rPr>
          <w:rFonts w:ascii="Times New Roman" w:hAnsi="Times New Roman"/>
          <w:bCs/>
        </w:rPr>
        <w:t xml:space="preserve"> e </w:t>
      </w:r>
      <w:proofErr w:type="spellStart"/>
      <w:r w:rsidRPr="00DF38D5">
        <w:rPr>
          <w:rFonts w:ascii="Times New Roman" w:hAnsi="Times New Roman"/>
          <w:bCs/>
        </w:rPr>
        <w:t>objektit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  <w:r w:rsidRPr="00DF38D5">
        <w:rPr>
          <w:rFonts w:ascii="Times New Roman" w:hAnsi="Times New Roman"/>
          <w:bCs/>
        </w:rPr>
        <w:t xml:space="preserve"> duke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4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kthimit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përgjigjes</w:t>
      </w:r>
      <w:proofErr w:type="spellEnd"/>
    </w:p>
  </w:footnote>
  <w:footnote w:id="5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Përmbajtja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bCs/>
        </w:rPr>
        <w:t>pë</w:t>
      </w:r>
      <w:r w:rsidRPr="00DF38D5">
        <w:rPr>
          <w:rFonts w:ascii="Times New Roman" w:hAnsi="Times New Roman"/>
          <w:bCs/>
        </w:rPr>
        <w:t>rgjigj</w:t>
      </w:r>
      <w:r>
        <w:rPr>
          <w:rFonts w:ascii="Times New Roman" w:hAnsi="Times New Roman"/>
          <w:bCs/>
        </w:rPr>
        <w:t>es</w:t>
      </w:r>
      <w:proofErr w:type="spellEnd"/>
      <w:r>
        <w:rPr>
          <w:rFonts w:ascii="Times New Roman" w:hAnsi="Times New Roman"/>
          <w:bCs/>
        </w:rPr>
        <w:t xml:space="preserve"> duke</w:t>
      </w:r>
      <w:r w:rsidRPr="00DF38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6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Përgjigja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jepet</w:t>
      </w:r>
      <w:proofErr w:type="spellEnd"/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plotë</w:t>
      </w:r>
      <w:proofErr w:type="spellEnd"/>
      <w:r w:rsidRPr="00DF38D5">
        <w:rPr>
          <w:rFonts w:ascii="Times New Roman" w:hAnsi="Times New Roman"/>
        </w:rPr>
        <w:t xml:space="preserve">/ E </w:t>
      </w:r>
      <w:proofErr w:type="spellStart"/>
      <w:r w:rsidRPr="00DF38D5">
        <w:rPr>
          <w:rFonts w:ascii="Times New Roman" w:hAnsi="Times New Roman"/>
        </w:rPr>
        <w:t>kufizuar</w:t>
      </w:r>
      <w:proofErr w:type="spellEnd"/>
      <w:r w:rsidRPr="00DF38D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 w:rsidRPr="00DF38D5">
        <w:rPr>
          <w:rFonts w:ascii="Times New Roman" w:hAnsi="Times New Roman"/>
        </w:rPr>
        <w:t>refuzuar</w:t>
      </w:r>
      <w:proofErr w:type="spellEnd"/>
      <w:r w:rsidRPr="00DF38D5">
        <w:rPr>
          <w:rFonts w:ascii="Times New Roman" w:hAnsi="Times New Roman"/>
        </w:rPr>
        <w:t xml:space="preserve">/E </w:t>
      </w:r>
      <w:proofErr w:type="spellStart"/>
      <w:r w:rsidRPr="00DF38D5">
        <w:rPr>
          <w:rFonts w:ascii="Times New Roman" w:hAnsi="Times New Roman"/>
        </w:rPr>
        <w:t>deleguar</w:t>
      </w:r>
      <w:proofErr w:type="spellEnd"/>
    </w:p>
  </w:footnote>
  <w:footnote w:id="7">
    <w:p w:rsidR="00CF3D18" w:rsidRDefault="00CF3D18" w:rsidP="00CF3D18">
      <w:pPr>
        <w:pStyle w:val="FootnoteText"/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lang w:val="it-IT"/>
        </w:rPr>
        <w:t xml:space="preserve">Kosto monetare e riprodhimit (kur 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sht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rasti dhe </w:t>
      </w:r>
      <w:r>
        <w:rPr>
          <w:rFonts w:ascii="Times New Roman" w:hAnsi="Times New Roman"/>
          <w:lang w:val="it-IT"/>
        </w:rPr>
        <w:t>e</w:t>
      </w:r>
      <w:r w:rsidRPr="00DF38D5">
        <w:rPr>
          <w:rFonts w:ascii="Times New Roman" w:hAnsi="Times New Roman"/>
          <w:lang w:val="it-IT"/>
        </w:rPr>
        <w:t xml:space="preserve"> d</w:t>
      </w:r>
      <w:r>
        <w:rPr>
          <w:rFonts w:ascii="Times New Roman" w:hAnsi="Times New Roman"/>
          <w:lang w:val="it-IT"/>
        </w:rPr>
        <w:t>ërgimit)</w:t>
      </w:r>
      <w:r w:rsidRPr="00DF38D5">
        <w:rPr>
          <w:rFonts w:ascii="Times New Roman" w:hAnsi="Times New Roman"/>
          <w:lang w:val="it-IT"/>
        </w:rPr>
        <w:t xml:space="preserve"> t</w:t>
      </w:r>
      <w:r w:rsidRPr="00DF38D5">
        <w:rPr>
          <w:rFonts w:ascii="Times New Roman" w:eastAsia="MingLiU-ExtB" w:hAnsi="Times New Roman"/>
          <w:lang w:val="it-IT"/>
        </w:rPr>
        <w:t xml:space="preserve">ë </w:t>
      </w:r>
      <w:r w:rsidRPr="00DF38D5">
        <w:rPr>
          <w:rFonts w:ascii="Times New Roman" w:hAnsi="Times New Roman"/>
          <w:lang w:val="it-IT"/>
        </w:rPr>
        <w:t>informacionit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k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rkuar sipas tarifave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BE"/>
    <w:rsid w:val="003D0D69"/>
    <w:rsid w:val="009D6ABB"/>
    <w:rsid w:val="00A613BE"/>
    <w:rsid w:val="00CF3D18"/>
    <w:rsid w:val="00DA152F"/>
    <w:rsid w:val="00E52239"/>
    <w:rsid w:val="00EB24FE"/>
    <w:rsid w:val="00F4644D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DD32"/>
  <w15:chartTrackingRefBased/>
  <w15:docId w15:val="{2BEF1D85-6C46-4D8F-B494-C112647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3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D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3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1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864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38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uamd.edu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matepelena@uamd.edu.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godenijuliana@outlook.com</dc:creator>
  <cp:keywords/>
  <dc:description/>
  <cp:lastModifiedBy>godenijuliana@outlook.com</cp:lastModifiedBy>
  <cp:revision>4</cp:revision>
  <dcterms:created xsi:type="dcterms:W3CDTF">2023-02-22T10:25:00Z</dcterms:created>
  <dcterms:modified xsi:type="dcterms:W3CDTF">2023-04-14T11:42:00Z</dcterms:modified>
</cp:coreProperties>
</file>